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A60B" w14:textId="18F99BF5" w:rsidR="00FD7093" w:rsidRPr="00CC6DB2" w:rsidRDefault="00CC6DB2" w:rsidP="00B23A2C">
      <w:pPr>
        <w:spacing w:before="120" w:after="120" w:line="240" w:lineRule="auto"/>
        <w:ind w:left="0" w:right="15" w:firstLine="0"/>
        <w:jc w:val="center"/>
        <w:rPr>
          <w:rFonts w:cs="Calibri"/>
          <w:b/>
          <w:bCs/>
        </w:rPr>
      </w:pPr>
      <w:r w:rsidRPr="00CC6DB2">
        <w:rPr>
          <w:b/>
          <w:bCs/>
          <w:sz w:val="24"/>
        </w:rPr>
        <w:t xml:space="preserve">Ouverture de postes </w:t>
      </w:r>
      <w:r w:rsidR="00FD7093" w:rsidRPr="00CC6DB2">
        <w:rPr>
          <w:b/>
          <w:bCs/>
          <w:sz w:val="24"/>
        </w:rPr>
        <w:t>de personnel</w:t>
      </w:r>
      <w:r w:rsidRPr="00CC6DB2">
        <w:rPr>
          <w:b/>
          <w:bCs/>
          <w:sz w:val="24"/>
        </w:rPr>
        <w:t xml:space="preserve"> en soutien aux activités de recherche </w:t>
      </w:r>
      <w:r w:rsidRPr="00CC6DB2">
        <w:rPr>
          <w:rFonts w:cs="Calibri"/>
          <w:b/>
          <w:bCs/>
        </w:rPr>
        <w:t xml:space="preserve"> </w:t>
      </w:r>
    </w:p>
    <w:p w14:paraId="6C32F1AB" w14:textId="77777777" w:rsidR="00CC6DB2" w:rsidRDefault="00CC6DB2" w:rsidP="00B23A2C">
      <w:pPr>
        <w:pStyle w:val="Titre1"/>
        <w:spacing w:before="120" w:after="120" w:line="240" w:lineRule="auto"/>
        <w:ind w:left="9"/>
      </w:pPr>
    </w:p>
    <w:p w14:paraId="2754CA7D" w14:textId="282D4814" w:rsidR="00B23A2C" w:rsidRPr="00B23A2C" w:rsidRDefault="00FD7093" w:rsidP="00B23A2C">
      <w:pPr>
        <w:pStyle w:val="Titre1"/>
        <w:spacing w:before="120" w:after="120" w:line="240" w:lineRule="auto"/>
        <w:ind w:left="9"/>
      </w:pPr>
      <w:r>
        <w:t>Obje</w:t>
      </w:r>
      <w:r w:rsidR="00B23A2C">
        <w:t>t</w:t>
      </w:r>
    </w:p>
    <w:p w14:paraId="692D0C05" w14:textId="5EC861D9" w:rsidR="00FD7093" w:rsidRDefault="00CC6DB2" w:rsidP="00B23A2C">
      <w:pPr>
        <w:spacing w:before="120" w:after="120" w:line="240" w:lineRule="auto"/>
        <w:ind w:left="5" w:right="1"/>
      </w:pPr>
      <w:r>
        <w:t>De nombreuses équipes de recherche expriment régulièrement les difficultés rencontrées dans la poursuite de leurs activités par manque de soutien</w:t>
      </w:r>
      <w:r w:rsidR="00FD7093">
        <w:t xml:space="preserve"> logistique,</w:t>
      </w:r>
      <w:r>
        <w:t xml:space="preserve"> administratif ou par manque d’encadrement technique. </w:t>
      </w:r>
      <w:r w:rsidR="00FD7093">
        <w:t xml:space="preserve">Dans la foulée des appels </w:t>
      </w:r>
      <w:r>
        <w:t xml:space="preserve">« logisticiens de recherche » </w:t>
      </w:r>
      <w:r w:rsidR="00FD7093">
        <w:t>de 202</w:t>
      </w:r>
      <w:r w:rsidR="000F24F6">
        <w:t>3</w:t>
      </w:r>
      <w:r>
        <w:t xml:space="preserve"> </w:t>
      </w:r>
      <w:r w:rsidR="00FD7093">
        <w:t xml:space="preserve">et </w:t>
      </w:r>
      <w:r>
        <w:t xml:space="preserve">« PATGS » </w:t>
      </w:r>
      <w:r w:rsidR="00FD7093">
        <w:t>de 202</w:t>
      </w:r>
      <w:r w:rsidR="000F24F6">
        <w:t>4</w:t>
      </w:r>
      <w:r w:rsidR="00FD7093">
        <w:rPr>
          <w:rFonts w:cs="Calibri"/>
        </w:rPr>
        <w:t xml:space="preserve">, il est proposé d’ouvrir un appel récurrent annuel pour permettre d’engager du personnel de soutien aux activités de recherche, sans distinction de statut. </w:t>
      </w:r>
      <w:r w:rsidR="00FD7093">
        <w:t xml:space="preserve">Les profils visés peuvent être très diversifiés et reprennent, sans être exhaustif, le soutien administratif, l’aide à la rédaction de rapport, les techniciens de laboratoires, les techniciens au sein de plateforme et les logisticiens de recherche. </w:t>
      </w:r>
    </w:p>
    <w:p w14:paraId="2562F816" w14:textId="38AD4865" w:rsidR="009E4DE7" w:rsidRPr="00B23A2C" w:rsidRDefault="009E4DE7" w:rsidP="00B23A2C">
      <w:pPr>
        <w:spacing w:before="120" w:after="120" w:line="240" w:lineRule="auto"/>
        <w:ind w:left="5" w:right="1"/>
        <w:rPr>
          <w:u w:val="single"/>
        </w:rPr>
      </w:pPr>
      <w:r w:rsidRPr="009E4DE7">
        <w:rPr>
          <w:u w:val="single"/>
        </w:rPr>
        <w:t>Durée des contrats</w:t>
      </w:r>
    </w:p>
    <w:p w14:paraId="3DEA3F73" w14:textId="51E1CF6F" w:rsidR="00A66647" w:rsidRDefault="009E4DE7" w:rsidP="00B23A2C">
      <w:pPr>
        <w:spacing w:before="120" w:after="120" w:line="240" w:lineRule="auto"/>
        <w:ind w:left="5" w:right="1"/>
      </w:pPr>
      <w:r>
        <w:t xml:space="preserve">Les postes offerts dans le cadre de cet appel sont limités dans le temps et seront organisés en mandat de deux ans, renouvelable une seul fois. En aucune manière, les postes obtenus via cet appel ne </w:t>
      </w:r>
      <w:r w:rsidR="000F24F6">
        <w:t>doivent</w:t>
      </w:r>
      <w:r>
        <w:t xml:space="preserve"> être considérés comme une voie pour stabiliser du personnel. </w:t>
      </w:r>
      <w:r w:rsidR="00CC6DB2">
        <w:t>En revanche</w:t>
      </w:r>
      <w:r w:rsidR="000F24F6">
        <w:t>, ils peuvent être utilisés pour engager du personnel de manière temporaire dans l’attente de postes stables qui seraient financés par ailleurs.</w:t>
      </w:r>
    </w:p>
    <w:p w14:paraId="79F4FEB3" w14:textId="50384F36" w:rsidR="00A66647" w:rsidRDefault="00CC6DB2" w:rsidP="00B23A2C">
      <w:pPr>
        <w:pStyle w:val="Titre1"/>
        <w:spacing w:before="120" w:after="120" w:line="240" w:lineRule="auto"/>
        <w:ind w:left="9"/>
      </w:pPr>
      <w:r>
        <w:t>Missions visées</w:t>
      </w:r>
      <w:r>
        <w:rPr>
          <w:u w:val="none"/>
        </w:rPr>
        <w:t xml:space="preserve">  </w:t>
      </w:r>
    </w:p>
    <w:p w14:paraId="5DA44EC1" w14:textId="1B43A2CF" w:rsidR="009E4DE7" w:rsidRDefault="00CC6DB2" w:rsidP="00B23A2C">
      <w:pPr>
        <w:spacing w:before="120" w:after="120" w:line="240" w:lineRule="auto"/>
        <w:ind w:left="14" w:right="0" w:firstLine="0"/>
      </w:pPr>
      <w:r>
        <w:t xml:space="preserve">Le personnel visé par cet appel doit avoir pour mission </w:t>
      </w:r>
    </w:p>
    <w:p w14:paraId="4719254C" w14:textId="13064172" w:rsidR="009E4DE7" w:rsidRDefault="009E4DE7" w:rsidP="00B23A2C">
      <w:pPr>
        <w:pStyle w:val="Paragraphedeliste"/>
        <w:numPr>
          <w:ilvl w:val="0"/>
          <w:numId w:val="2"/>
        </w:numPr>
        <w:spacing w:before="120" w:after="120" w:line="240" w:lineRule="auto"/>
        <w:ind w:right="0"/>
      </w:pPr>
      <w:r>
        <w:t>Soit de soutenir administrativement ou techniquement des équipes présentant un volume de recherche important et, de cette manière, aider à la mise en œuvre de programmes déjà financé ;</w:t>
      </w:r>
    </w:p>
    <w:p w14:paraId="58EC6299" w14:textId="212ACF83" w:rsidR="009E4DE7" w:rsidRDefault="009E4DE7" w:rsidP="00B23A2C">
      <w:pPr>
        <w:pStyle w:val="Paragraphedeliste"/>
        <w:numPr>
          <w:ilvl w:val="0"/>
          <w:numId w:val="2"/>
        </w:numPr>
        <w:spacing w:before="120" w:after="120" w:line="240" w:lineRule="auto"/>
        <w:ind w:right="0"/>
      </w:pPr>
      <w:r>
        <w:t xml:space="preserve">Soit de contribuer à la recherche de moyens pour développer de toutes nouvelles activités ; </w:t>
      </w:r>
    </w:p>
    <w:p w14:paraId="26858F95" w14:textId="5B13B001" w:rsidR="00A66647" w:rsidRDefault="009E4DE7" w:rsidP="00B23A2C">
      <w:pPr>
        <w:pStyle w:val="Paragraphedeliste"/>
        <w:numPr>
          <w:ilvl w:val="0"/>
          <w:numId w:val="2"/>
        </w:numPr>
        <w:spacing w:before="120" w:after="120" w:line="240" w:lineRule="auto"/>
        <w:ind w:right="0"/>
      </w:pPr>
      <w:r>
        <w:t>Soit une combinaison des deux missions précédentes.</w:t>
      </w:r>
      <w:r w:rsidRPr="009E4DE7">
        <w:rPr>
          <w:rFonts w:cs="Calibri"/>
        </w:rPr>
        <w:t xml:space="preserve"> </w:t>
      </w:r>
    </w:p>
    <w:p w14:paraId="37E9F4DB" w14:textId="1F921EA5" w:rsidR="00A66647" w:rsidRDefault="00CC6DB2" w:rsidP="00B23A2C">
      <w:pPr>
        <w:pStyle w:val="Titre1"/>
        <w:spacing w:before="120" w:after="120" w:line="240" w:lineRule="auto"/>
        <w:ind w:left="9"/>
      </w:pPr>
      <w:r>
        <w:t>Structures d’accueil visées</w:t>
      </w:r>
      <w:r>
        <w:rPr>
          <w:u w:val="none"/>
        </w:rPr>
        <w:t xml:space="preserve">  </w:t>
      </w:r>
    </w:p>
    <w:p w14:paraId="085E1208" w14:textId="2CCC351C" w:rsidR="009E4DE7" w:rsidRDefault="00CC6DB2" w:rsidP="00B23A2C">
      <w:pPr>
        <w:spacing w:before="120" w:after="120" w:line="240" w:lineRule="auto"/>
        <w:ind w:left="5" w:right="1"/>
      </w:pPr>
      <w:r>
        <w:t xml:space="preserve">Les structures d’accueil visées sont des équipes pouvant faire état à la fois de résultats positifs dans leur recherche de financement </w:t>
      </w:r>
      <w:r w:rsidR="009E4DE7">
        <w:t>ou d’une ambition d’augmenter significativement l’obtention de moyens financiers auprès de bailleurs de fonds extérieurs</w:t>
      </w:r>
      <w:r w:rsidR="00B23A2C">
        <w:t>.</w:t>
      </w:r>
    </w:p>
    <w:p w14:paraId="1A0B999F" w14:textId="311E3A81" w:rsidR="009E4DE7" w:rsidRDefault="009E4DE7" w:rsidP="00B23A2C">
      <w:pPr>
        <w:spacing w:before="120" w:after="120" w:line="240" w:lineRule="auto"/>
        <w:ind w:left="5" w:right="1"/>
      </w:pPr>
      <w:r>
        <w:t xml:space="preserve">Les structures d’accueil visées devront faire état d’un déficit en termes d’encadrement pour le soutien à la mise en œuvre des programmes financés ou la mise en œuvre de leur stratégie de recherche de financement. </w:t>
      </w:r>
    </w:p>
    <w:p w14:paraId="6CECD91B" w14:textId="66C6B2B9" w:rsidR="00A66647" w:rsidRDefault="00CC6DB2" w:rsidP="00B23A2C">
      <w:pPr>
        <w:spacing w:before="120" w:after="120" w:line="240" w:lineRule="auto"/>
        <w:ind w:left="5" w:right="1"/>
      </w:pPr>
      <w:r>
        <w:t xml:space="preserve">La taille de l’équipe n’est pas un critère prépondérant. Les groupes de petite taille dont les besoins peuvent être rencontrés par de faibles fractions d’ETP sont encouragées à identifier d’autres équipes pouvant partager l’aide mise à disposition pour demander collectivement au minimum un mi-temps, en précisant l’allocation de temps entre les équipes. </w:t>
      </w:r>
      <w:r>
        <w:rPr>
          <w:rFonts w:cs="Calibri"/>
        </w:rPr>
        <w:t xml:space="preserve"> </w:t>
      </w:r>
    </w:p>
    <w:p w14:paraId="3DFBE6D3" w14:textId="4DC16389" w:rsidR="00A66647" w:rsidRDefault="00CC6DB2" w:rsidP="00B23A2C">
      <w:pPr>
        <w:pStyle w:val="Titre1"/>
        <w:spacing w:before="120" w:after="120" w:line="240" w:lineRule="auto"/>
        <w:ind w:left="9"/>
      </w:pPr>
      <w:r>
        <w:t>Dossiers</w:t>
      </w:r>
      <w:r>
        <w:rPr>
          <w:u w:val="none"/>
        </w:rPr>
        <w:t xml:space="preserve">  </w:t>
      </w:r>
    </w:p>
    <w:p w14:paraId="03D30260" w14:textId="77777777" w:rsidR="00A66647" w:rsidRDefault="00CC6DB2" w:rsidP="00B23A2C">
      <w:pPr>
        <w:spacing w:before="120" w:after="120" w:line="240" w:lineRule="auto"/>
        <w:ind w:left="5" w:right="1"/>
      </w:pPr>
      <w:r>
        <w:t xml:space="preserve">Le dossier devra comporter </w:t>
      </w:r>
      <w:r>
        <w:rPr>
          <w:rFonts w:cs="Calibri"/>
        </w:rPr>
        <w:t xml:space="preserve"> </w:t>
      </w:r>
    </w:p>
    <w:p w14:paraId="510EC88F" w14:textId="4237A822" w:rsidR="00A66647" w:rsidRDefault="007E68C1" w:rsidP="00B23A2C">
      <w:pPr>
        <w:numPr>
          <w:ilvl w:val="0"/>
          <w:numId w:val="1"/>
        </w:numPr>
        <w:spacing w:before="120" w:after="120" w:line="240" w:lineRule="auto"/>
        <w:ind w:right="1" w:hanging="360"/>
      </w:pPr>
      <w:r>
        <w:t>Le nom du ou des porteurs de projet.</w:t>
      </w:r>
    </w:p>
    <w:p w14:paraId="3F30EBD1" w14:textId="3886C5A3" w:rsidR="00A66647" w:rsidRPr="00FB6EC5" w:rsidRDefault="007E68C1" w:rsidP="00B23A2C">
      <w:pPr>
        <w:numPr>
          <w:ilvl w:val="0"/>
          <w:numId w:val="1"/>
        </w:numPr>
        <w:spacing w:before="120" w:after="120" w:line="240" w:lineRule="auto"/>
        <w:ind w:right="1" w:hanging="360"/>
      </w:pPr>
      <w:r>
        <w:t>Une brève description de la ou des structures d’accueil reprenant le nombre de membres du corps académiques, du corps scientifique (chercheurs contractuels, doctorants financés</w:t>
      </w:r>
      <w:r w:rsidR="009E4DE7">
        <w:t>, logisticiens</w:t>
      </w:r>
      <w:r>
        <w:t xml:space="preserve">) et de PATGS contractuels et au cadre ; En particulier, </w:t>
      </w:r>
      <w:r w:rsidRPr="007E68C1">
        <w:t xml:space="preserve">un recensement transparent de </w:t>
      </w:r>
      <w:r>
        <w:t>ressources</w:t>
      </w:r>
      <w:r w:rsidRPr="007E68C1">
        <w:t xml:space="preserve"> en PATGS et logisticiens</w:t>
      </w:r>
      <w:r>
        <w:t xml:space="preserve"> et une explication du déficit d’encadrement seront essentiel pour pouvoir juger de la pertinence de la demande. </w:t>
      </w:r>
      <w:r>
        <w:rPr>
          <w:rFonts w:cs="Calibri"/>
        </w:rPr>
        <w:t xml:space="preserve"> </w:t>
      </w:r>
    </w:p>
    <w:p w14:paraId="2CDC65FA" w14:textId="51417798" w:rsidR="00FB6EC5" w:rsidRPr="00532B1E" w:rsidRDefault="00FB6EC5" w:rsidP="00B23A2C">
      <w:pPr>
        <w:numPr>
          <w:ilvl w:val="0"/>
          <w:numId w:val="1"/>
        </w:numPr>
        <w:spacing w:before="120" w:after="120" w:line="240" w:lineRule="auto"/>
        <w:ind w:right="1" w:hanging="360"/>
      </w:pPr>
      <w:bookmarkStart w:id="0" w:name="_Hlk214964260"/>
      <w:r w:rsidRPr="00532B1E">
        <w:rPr>
          <w:rFonts w:cs="Calibri"/>
        </w:rPr>
        <w:lastRenderedPageBreak/>
        <w:t>Dans le cas d</w:t>
      </w:r>
      <w:r w:rsidR="00532B1E" w:rsidRPr="00532B1E">
        <w:rPr>
          <w:rFonts w:cs="Calibri"/>
        </w:rPr>
        <w:t>u recrutement d’un</w:t>
      </w:r>
      <w:r w:rsidRPr="00532B1E">
        <w:rPr>
          <w:rFonts w:cs="Calibri"/>
        </w:rPr>
        <w:t xml:space="preserve"> PATGS, veuillez indiquer le niveau (1 ou 2)</w:t>
      </w:r>
      <w:r w:rsidR="00532B1E" w:rsidRPr="00532B1E">
        <w:rPr>
          <w:rFonts w:cs="Calibri"/>
        </w:rPr>
        <w:t>. Par défaut le recrutement d’un niveau 1 se verra associ</w:t>
      </w:r>
      <w:r w:rsidR="005C70EA">
        <w:rPr>
          <w:rFonts w:cs="Calibri"/>
        </w:rPr>
        <w:t>é</w:t>
      </w:r>
      <w:r w:rsidR="00532B1E" w:rsidRPr="00532B1E">
        <w:rPr>
          <w:rFonts w:cs="Calibri"/>
        </w:rPr>
        <w:t xml:space="preserve"> à la famille de v</w:t>
      </w:r>
      <w:r w:rsidRPr="00532B1E">
        <w:rPr>
          <w:rFonts w:cs="Calibri"/>
        </w:rPr>
        <w:t>alorisation</w:t>
      </w:r>
      <w:r w:rsidR="00532B1E" w:rsidRPr="00532B1E">
        <w:rPr>
          <w:rFonts w:cs="Calibri"/>
        </w:rPr>
        <w:t xml:space="preserve"> D et le recrutement d’un niveau 2 se verra associ</w:t>
      </w:r>
      <w:r w:rsidR="005C70EA">
        <w:rPr>
          <w:rFonts w:cs="Calibri"/>
        </w:rPr>
        <w:t>é</w:t>
      </w:r>
      <w:r w:rsidR="00532B1E" w:rsidRPr="00532B1E">
        <w:rPr>
          <w:rFonts w:cs="Calibri"/>
        </w:rPr>
        <w:t xml:space="preserve"> à la famille de valorisation A</w:t>
      </w:r>
      <w:r w:rsidRPr="00532B1E">
        <w:rPr>
          <w:rFonts w:cs="Calibri"/>
        </w:rPr>
        <w:t>.</w:t>
      </w:r>
      <w:r w:rsidR="00532B1E" w:rsidRPr="00532B1E">
        <w:rPr>
          <w:rFonts w:cs="Calibri"/>
        </w:rPr>
        <w:t xml:space="preserve"> Si la famille de valorisation devait être différente, cela doit être motivé dans la candidature.</w:t>
      </w:r>
    </w:p>
    <w:bookmarkEnd w:id="0"/>
    <w:p w14:paraId="52D390E8" w14:textId="71676557" w:rsidR="00A66647" w:rsidRDefault="007E68C1" w:rsidP="00B23A2C">
      <w:pPr>
        <w:numPr>
          <w:ilvl w:val="0"/>
          <w:numId w:val="1"/>
        </w:numPr>
        <w:spacing w:before="120" w:after="120" w:line="240" w:lineRule="auto"/>
        <w:ind w:right="1" w:hanging="360"/>
      </w:pPr>
      <w:r>
        <w:t xml:space="preserve">Une liste des projets de recherche financés sur les 3 dernières années par le(s) demandeur(s). </w:t>
      </w:r>
      <w:r>
        <w:rPr>
          <w:rFonts w:cs="Calibri"/>
        </w:rPr>
        <w:t xml:space="preserve"> </w:t>
      </w:r>
    </w:p>
    <w:p w14:paraId="3D0EDDEE" w14:textId="77F422C9" w:rsidR="000F24F6" w:rsidRDefault="007E68C1" w:rsidP="00B23A2C">
      <w:pPr>
        <w:numPr>
          <w:ilvl w:val="0"/>
          <w:numId w:val="1"/>
        </w:numPr>
        <w:spacing w:before="120" w:after="120" w:line="240" w:lineRule="auto"/>
        <w:ind w:right="1" w:hanging="360"/>
      </w:pPr>
      <w:r>
        <w:t>Le</w:t>
      </w:r>
      <w:r w:rsidR="000F24F6">
        <w:t xml:space="preserve"> type de profil recherché, la fraction d’ETP et la durée du contrat demandée, qui ne pourra dépasser 4 ans</w:t>
      </w:r>
      <w:r>
        <w:t>.</w:t>
      </w:r>
    </w:p>
    <w:p w14:paraId="196B0846" w14:textId="06C1B0B0" w:rsidR="00A66647" w:rsidRDefault="007E68C1" w:rsidP="00B23A2C">
      <w:pPr>
        <w:numPr>
          <w:ilvl w:val="0"/>
          <w:numId w:val="1"/>
        </w:numPr>
        <w:spacing w:before="120" w:after="120" w:line="240" w:lineRule="auto"/>
        <w:ind w:right="1" w:hanging="360"/>
      </w:pPr>
      <w:r>
        <w:t xml:space="preserve">Un descriptif des missions spécifiques attendues de la personne à recruter </w:t>
      </w:r>
      <w:r w:rsidR="000F24F6">
        <w:t>en insistant sur l’adéquation du profil recherché</w:t>
      </w:r>
      <w:r>
        <w:t>.</w:t>
      </w:r>
    </w:p>
    <w:p w14:paraId="15E270F9" w14:textId="012ED932" w:rsidR="00A66647" w:rsidRDefault="007E68C1" w:rsidP="00B23A2C">
      <w:pPr>
        <w:numPr>
          <w:ilvl w:val="0"/>
          <w:numId w:val="1"/>
        </w:numPr>
        <w:spacing w:before="120" w:after="120" w:line="240" w:lineRule="auto"/>
        <w:ind w:right="1" w:hanging="360"/>
      </w:pPr>
      <w:r>
        <w:t>Un descriptif de l’organisation du travail et de l’encadrement de cette personne, en précisant la répartition de celle-ci si la demande émane de plusieurs équipes distinctes.</w:t>
      </w:r>
    </w:p>
    <w:p w14:paraId="3E226F2E" w14:textId="0180189E" w:rsidR="00A66647" w:rsidRDefault="00CC6DB2" w:rsidP="00B23A2C">
      <w:pPr>
        <w:spacing w:before="120" w:after="120" w:line="240" w:lineRule="auto"/>
        <w:ind w:left="5" w:right="1"/>
      </w:pPr>
      <w:r>
        <w:t xml:space="preserve">Il n’est pas nécessaire d’avoir identifié un candidat préalablement à la soumission du dossier. Néanmoins, si une personne est pressentie pour occuper le poste, son CV pourra être joint au dossier.  </w:t>
      </w:r>
      <w:r>
        <w:rPr>
          <w:rFonts w:cs="Calibri"/>
        </w:rPr>
        <w:t xml:space="preserve"> </w:t>
      </w:r>
    </w:p>
    <w:p w14:paraId="63A0F55C" w14:textId="55F61C12" w:rsidR="00A66647" w:rsidRDefault="00CC6DB2" w:rsidP="00B23A2C">
      <w:pPr>
        <w:pStyle w:val="Titre1"/>
        <w:spacing w:before="120" w:after="120" w:line="240" w:lineRule="auto"/>
        <w:ind w:left="9"/>
      </w:pPr>
      <w:r>
        <w:t>Évaluation</w:t>
      </w:r>
      <w:r>
        <w:rPr>
          <w:u w:val="none"/>
        </w:rPr>
        <w:t xml:space="preserve">   </w:t>
      </w:r>
    </w:p>
    <w:p w14:paraId="45EEB9B2" w14:textId="5506710C" w:rsidR="00A66647" w:rsidRDefault="00CC6DB2" w:rsidP="00B23A2C">
      <w:pPr>
        <w:spacing w:before="120" w:after="120" w:line="240" w:lineRule="auto"/>
        <w:ind w:left="5" w:right="1"/>
      </w:pPr>
      <w:r>
        <w:t>Les dossiers seront examinés par un jury constitué de trois membres externes de la commission de classement du Conseil de la recherche, du vice-recteur à la recherche et à la valorisation et des conseill</w:t>
      </w:r>
      <w:r w:rsidR="00B342DE">
        <w:t>ers</w:t>
      </w:r>
      <w:r>
        <w:t xml:space="preserve"> recherche en sciences humaines, en sciences et techniques et en sciences de la vie et de la santé. </w:t>
      </w:r>
      <w:r>
        <w:rPr>
          <w:rFonts w:cs="Calibri"/>
        </w:rPr>
        <w:t xml:space="preserve"> </w:t>
      </w:r>
    </w:p>
    <w:p w14:paraId="03A65E13" w14:textId="10BD6148" w:rsidR="00A66647" w:rsidRDefault="00CC6DB2" w:rsidP="00B23A2C">
      <w:pPr>
        <w:spacing w:before="120" w:after="120" w:line="240" w:lineRule="auto"/>
        <w:ind w:left="5" w:right="1"/>
      </w:pPr>
      <w:r>
        <w:t xml:space="preserve">Les demandes transmises au jury par les facultés seront classées (A pour les plus prioritaires, B et C pour les moins prioritaires).  </w:t>
      </w:r>
      <w:r>
        <w:rPr>
          <w:rFonts w:cs="Calibri"/>
        </w:rPr>
        <w:t xml:space="preserve"> </w:t>
      </w:r>
    </w:p>
    <w:p w14:paraId="1201FFBD" w14:textId="1F920127" w:rsidR="00A66647" w:rsidRDefault="00CC6DB2" w:rsidP="00B23A2C">
      <w:pPr>
        <w:spacing w:before="120" w:after="120" w:line="240" w:lineRule="auto"/>
        <w:ind w:left="5" w:right="1"/>
      </w:pPr>
      <w:r>
        <w:t xml:space="preserve">Les critères principaux seront le volume des projets de recherche financés, le déficit d’encadrement des porteurs de projet, les perspectives de mutualisation et </w:t>
      </w:r>
      <w:r w:rsidR="00B23A2C">
        <w:t>le classement facultaire</w:t>
      </w:r>
      <w:r>
        <w:t xml:space="preserve">. </w:t>
      </w:r>
      <w:r>
        <w:rPr>
          <w:rFonts w:cs="Calibri"/>
        </w:rPr>
        <w:t xml:space="preserve"> </w:t>
      </w:r>
    </w:p>
    <w:p w14:paraId="71AB079A" w14:textId="5FD250A4" w:rsidR="00A66647" w:rsidRDefault="00CC6DB2" w:rsidP="00B23A2C">
      <w:pPr>
        <w:pStyle w:val="Titre1"/>
        <w:spacing w:before="120" w:after="120" w:line="240" w:lineRule="auto"/>
        <w:ind w:left="9"/>
      </w:pPr>
      <w:r>
        <w:t>Calendrier</w:t>
      </w:r>
      <w:r>
        <w:rPr>
          <w:u w:val="none"/>
        </w:rPr>
        <w:t xml:space="preserve">  </w:t>
      </w:r>
    </w:p>
    <w:p w14:paraId="19B32D2E" w14:textId="067F4B0D" w:rsidR="00A66647" w:rsidRPr="00FA12CA" w:rsidRDefault="004E3B23" w:rsidP="00B23A2C">
      <w:pPr>
        <w:spacing w:before="120" w:after="120" w:line="240" w:lineRule="auto"/>
        <w:ind w:left="5" w:right="1"/>
      </w:pPr>
      <w:r w:rsidRPr="00FA12CA">
        <w:t xml:space="preserve">Le dossier de candidature devra être soumis en faculté pour une date communiquée via le calendrier académique de chaque Faculté et </w:t>
      </w:r>
      <w:r w:rsidR="000C0080" w:rsidRPr="00FA12CA">
        <w:t>selon</w:t>
      </w:r>
      <w:r w:rsidRPr="00FA12CA">
        <w:t xml:space="preserve"> des modalités fixées par </w:t>
      </w:r>
      <w:r w:rsidR="000C0080" w:rsidRPr="00FA12CA">
        <w:t>celle-ci</w:t>
      </w:r>
      <w:r w:rsidRPr="00FA12CA">
        <w:t>.</w:t>
      </w:r>
    </w:p>
    <w:p w14:paraId="6569D06C" w14:textId="4EA599C8" w:rsidR="00A66647" w:rsidRPr="00FA12CA" w:rsidRDefault="00CC6DB2" w:rsidP="00B23A2C">
      <w:pPr>
        <w:spacing w:before="120" w:after="120" w:line="240" w:lineRule="auto"/>
        <w:ind w:left="5" w:right="1"/>
      </w:pPr>
      <w:r w:rsidRPr="00FA12CA">
        <w:t>Les facultés enverron</w:t>
      </w:r>
      <w:r w:rsidR="00B342DE" w:rsidRPr="00FA12CA">
        <w:t>t</w:t>
      </w:r>
      <w:r w:rsidRPr="00FA12CA">
        <w:t xml:space="preserve"> </w:t>
      </w:r>
      <w:r w:rsidR="000C0080" w:rsidRPr="00FA12CA">
        <w:t>les dossiers accompagnés du</w:t>
      </w:r>
      <w:r w:rsidRPr="00FA12CA">
        <w:t xml:space="preserve"> classement</w:t>
      </w:r>
      <w:r w:rsidR="00B342DE" w:rsidRPr="00FA12CA">
        <w:t xml:space="preserve"> </w:t>
      </w:r>
      <w:r w:rsidR="000C0080" w:rsidRPr="00FA12CA">
        <w:t xml:space="preserve">Facultaire </w:t>
      </w:r>
      <w:r w:rsidRPr="00FA12CA">
        <w:t xml:space="preserve">pour le </w:t>
      </w:r>
      <w:r w:rsidR="004E3B23" w:rsidRPr="00FA12CA">
        <w:t>lundi</w:t>
      </w:r>
      <w:r w:rsidRPr="00FA12CA">
        <w:t xml:space="preserve"> </w:t>
      </w:r>
      <w:r w:rsidR="004E3B23" w:rsidRPr="00FA12CA">
        <w:t>23</w:t>
      </w:r>
      <w:r w:rsidRPr="00FA12CA">
        <w:t xml:space="preserve"> février 202</w:t>
      </w:r>
      <w:r w:rsidR="004E3B23" w:rsidRPr="00FA12CA">
        <w:t>6</w:t>
      </w:r>
      <w:r w:rsidRPr="00FA12CA">
        <w:t xml:space="preserve"> à 12h</w:t>
      </w:r>
      <w:r w:rsidR="000C0080" w:rsidRPr="00FA12CA">
        <w:t xml:space="preserve"> au Département Recherche via l’adresse </w:t>
      </w:r>
      <w:hyperlink r:id="rId5" w:history="1">
        <w:r w:rsidR="000C0080" w:rsidRPr="00FA12CA">
          <w:rPr>
            <w:rStyle w:val="Lienhypertexte"/>
          </w:rPr>
          <w:t>fonds.recherche@ulb.be</w:t>
        </w:r>
      </w:hyperlink>
      <w:r w:rsidR="000C0080" w:rsidRPr="00FA12CA">
        <w:t xml:space="preserve">. </w:t>
      </w:r>
    </w:p>
    <w:p w14:paraId="36703337" w14:textId="04A6C2DA" w:rsidR="00A66647" w:rsidRPr="00FA12CA" w:rsidRDefault="00CC6DB2" w:rsidP="00B23A2C">
      <w:pPr>
        <w:spacing w:before="120" w:after="120" w:line="240" w:lineRule="auto"/>
        <w:ind w:left="5" w:right="1"/>
      </w:pPr>
      <w:r w:rsidRPr="00FA12CA">
        <w:t>La sélection se fera début mars</w:t>
      </w:r>
      <w:r w:rsidR="00B342DE" w:rsidRPr="00FA12CA">
        <w:t xml:space="preserve"> 202</w:t>
      </w:r>
      <w:r w:rsidR="004E3B23" w:rsidRPr="00FA12CA">
        <w:t>6</w:t>
      </w:r>
      <w:r w:rsidR="00B342DE" w:rsidRPr="00FA12CA">
        <w:t xml:space="preserve"> et sera communiquée au CR du </w:t>
      </w:r>
      <w:r w:rsidR="00B23A2C" w:rsidRPr="00FA12CA">
        <w:t>1</w:t>
      </w:r>
      <w:r w:rsidR="004E3B23" w:rsidRPr="00FA12CA">
        <w:t>7</w:t>
      </w:r>
      <w:r w:rsidR="00B23A2C" w:rsidRPr="00FA12CA">
        <w:t xml:space="preserve"> mars 202</w:t>
      </w:r>
      <w:r w:rsidR="004E3B23" w:rsidRPr="00FA12CA">
        <w:t>6</w:t>
      </w:r>
      <w:r w:rsidR="00B23A2C" w:rsidRPr="00FA12CA">
        <w:t xml:space="preserve"> et au CoA qui suivra</w:t>
      </w:r>
      <w:r w:rsidRPr="00FA12CA">
        <w:t xml:space="preserve">.  </w:t>
      </w:r>
      <w:r w:rsidRPr="00FA12CA">
        <w:rPr>
          <w:rFonts w:cs="Calibri"/>
        </w:rPr>
        <w:t xml:space="preserve"> </w:t>
      </w:r>
    </w:p>
    <w:p w14:paraId="0969A44B" w14:textId="39B10C1F" w:rsidR="00A66647" w:rsidRDefault="00CC6DB2" w:rsidP="00B23A2C">
      <w:pPr>
        <w:spacing w:before="120" w:after="120" w:line="240" w:lineRule="auto"/>
        <w:ind w:left="5" w:right="1"/>
      </w:pPr>
      <w:r w:rsidRPr="00FA12CA">
        <w:t>Les procédures de recrutement pourront alors débuter</w:t>
      </w:r>
      <w:r w:rsidR="005C70EA">
        <w:t xml:space="preserve"> et devront être finalisées pour le 1</w:t>
      </w:r>
      <w:r w:rsidR="005C70EA" w:rsidRPr="005C70EA">
        <w:rPr>
          <w:vertAlign w:val="superscript"/>
        </w:rPr>
        <w:t>ier</w:t>
      </w:r>
      <w:r w:rsidR="005C70EA">
        <w:t xml:space="preserve"> janvier 2027.</w:t>
      </w:r>
      <w:r>
        <w:t xml:space="preserve"> </w:t>
      </w:r>
      <w:r>
        <w:rPr>
          <w:rFonts w:cs="Calibri"/>
        </w:rPr>
        <w:t xml:space="preserve"> </w:t>
      </w:r>
    </w:p>
    <w:p w14:paraId="34D08685" w14:textId="77777777" w:rsidR="00A66647" w:rsidRDefault="00CC6DB2" w:rsidP="00B23A2C">
      <w:pPr>
        <w:spacing w:before="120" w:after="120" w:line="240" w:lineRule="auto"/>
        <w:ind w:left="14" w:right="0" w:firstLine="0"/>
        <w:jc w:val="left"/>
      </w:pPr>
      <w:r>
        <w:t xml:space="preserve"> </w:t>
      </w:r>
      <w:r>
        <w:rPr>
          <w:rFonts w:cs="Calibri"/>
        </w:rPr>
        <w:t xml:space="preserve"> </w:t>
      </w:r>
    </w:p>
    <w:p w14:paraId="3EC57BC7" w14:textId="77777777" w:rsidR="00A66647" w:rsidRDefault="00CC6DB2" w:rsidP="00B23A2C">
      <w:pPr>
        <w:spacing w:before="120" w:after="120" w:line="240" w:lineRule="auto"/>
        <w:ind w:left="14" w:right="0" w:firstLine="0"/>
        <w:jc w:val="left"/>
      </w:pPr>
      <w:r>
        <w:rPr>
          <w:sz w:val="24"/>
        </w:rPr>
        <w:t xml:space="preserve"> </w:t>
      </w:r>
      <w:r>
        <w:rPr>
          <w:rFonts w:cs="Calibri"/>
        </w:rPr>
        <w:t xml:space="preserve"> </w:t>
      </w:r>
    </w:p>
    <w:sectPr w:rsidR="00A66647">
      <w:pgSz w:w="11899" w:h="16841"/>
      <w:pgMar w:top="1502" w:right="1393" w:bottom="1686"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C3D"/>
    <w:multiLevelType w:val="hybridMultilevel"/>
    <w:tmpl w:val="69D0E95E"/>
    <w:lvl w:ilvl="0" w:tplc="40E611D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4358E">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88B25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49CF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8E033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30325C">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4C021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24AD64">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065EF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6354D7"/>
    <w:multiLevelType w:val="hybridMultilevel"/>
    <w:tmpl w:val="1290868E"/>
    <w:lvl w:ilvl="0" w:tplc="040C0001">
      <w:start w:val="1"/>
      <w:numFmt w:val="bullet"/>
      <w:lvlText w:val=""/>
      <w:lvlJc w:val="left"/>
      <w:pPr>
        <w:ind w:left="734" w:hanging="360"/>
      </w:pPr>
      <w:rPr>
        <w:rFonts w:ascii="Symbol" w:hAnsi="Symbol"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num w:numId="1" w16cid:durableId="1315061534">
    <w:abstractNumId w:val="0"/>
  </w:num>
  <w:num w:numId="2" w16cid:durableId="2025592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47"/>
    <w:rsid w:val="000C0080"/>
    <w:rsid w:val="000F24F6"/>
    <w:rsid w:val="0014639D"/>
    <w:rsid w:val="004E3B23"/>
    <w:rsid w:val="00532B1E"/>
    <w:rsid w:val="005C70EA"/>
    <w:rsid w:val="00615CE7"/>
    <w:rsid w:val="007E68C1"/>
    <w:rsid w:val="00944C35"/>
    <w:rsid w:val="009939E3"/>
    <w:rsid w:val="009E4DE7"/>
    <w:rsid w:val="009F64C1"/>
    <w:rsid w:val="00A66647"/>
    <w:rsid w:val="00B23A2C"/>
    <w:rsid w:val="00B342DE"/>
    <w:rsid w:val="00CC6DB2"/>
    <w:rsid w:val="00D314FE"/>
    <w:rsid w:val="00DC33C8"/>
    <w:rsid w:val="00FA12CA"/>
    <w:rsid w:val="00FB6EC5"/>
    <w:rsid w:val="00FD709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4998"/>
  <w15:docId w15:val="{275E07B6-89E1-EB40-9DE4-CD41CE20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4" w:hanging="10"/>
      <w:jc w:val="both"/>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pacing w:after="0" w:line="259" w:lineRule="auto"/>
      <w:ind w:left="10" w:hanging="10"/>
      <w:outlineLvl w:val="0"/>
    </w:pPr>
    <w:rPr>
      <w:rFonts w:ascii="Calibri" w:eastAsia="Calibri" w:hAnsi="Calibri" w:cs="Calibri"/>
      <w:color w:val="000000"/>
      <w:sz w:val="2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22"/>
      <w:u w:val="single" w:color="000000"/>
    </w:rPr>
  </w:style>
  <w:style w:type="paragraph" w:styleId="Paragraphedeliste">
    <w:name w:val="List Paragraph"/>
    <w:basedOn w:val="Normal"/>
    <w:uiPriority w:val="34"/>
    <w:qFormat/>
    <w:rsid w:val="009E4DE7"/>
    <w:pPr>
      <w:ind w:left="720"/>
      <w:contextualSpacing/>
    </w:pPr>
  </w:style>
  <w:style w:type="character" w:styleId="Lienhypertexte">
    <w:name w:val="Hyperlink"/>
    <w:basedOn w:val="Policepardfaut"/>
    <w:uiPriority w:val="99"/>
    <w:unhideWhenUsed/>
    <w:rsid w:val="000C0080"/>
    <w:rPr>
      <w:color w:val="467886" w:themeColor="hyperlink"/>
      <w:u w:val="single"/>
    </w:rPr>
  </w:style>
  <w:style w:type="character" w:styleId="Mentionnonrsolue">
    <w:name w:val="Unresolved Mention"/>
    <w:basedOn w:val="Policepardfaut"/>
    <w:uiPriority w:val="99"/>
    <w:semiHidden/>
    <w:unhideWhenUsed/>
    <w:rsid w:val="000C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nds.recherche@ulb.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817</Words>
  <Characters>4499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CARATI  Daniele</dc:creator>
  <cp:keywords/>
  <cp:lastModifiedBy>INGENITO Anthony</cp:lastModifiedBy>
  <cp:revision>8</cp:revision>
  <dcterms:created xsi:type="dcterms:W3CDTF">2025-10-02T07:23:00Z</dcterms:created>
  <dcterms:modified xsi:type="dcterms:W3CDTF">2025-11-25T11:00:00Z</dcterms:modified>
</cp:coreProperties>
</file>